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D11A" w14:textId="1679877F" w:rsidR="00490D62" w:rsidRDefault="00473677">
      <w:pPr>
        <w:rPr>
          <w:color w:val="215E99" w:themeColor="text2" w:themeTint="BF"/>
          <w:sz w:val="44"/>
          <w:szCs w:val="44"/>
        </w:rPr>
      </w:pPr>
      <w:r w:rsidRPr="00473677">
        <w:rPr>
          <w:color w:val="215E99" w:themeColor="text2" w:themeTint="BF"/>
          <w:sz w:val="44"/>
          <w:szCs w:val="44"/>
        </w:rPr>
        <w:t>Appendix 1: Measuring the impact of Bath’s Clean Air Zone – Reporting timeline</w:t>
      </w:r>
    </w:p>
    <w:p w14:paraId="149F75FE" w14:textId="528114F0" w:rsidR="00473677" w:rsidRPr="00473677" w:rsidRDefault="00473677">
      <w:pPr>
        <w:rPr>
          <w:szCs w:val="24"/>
        </w:rPr>
      </w:pPr>
      <w:r w:rsidRPr="00473677">
        <w:rPr>
          <w:szCs w:val="24"/>
        </w:rPr>
        <w:t>Table 1, below, is taken from the Monitoring and Evaluation Plan in the Full Business Case for Bath’s Clean Air Plan. It identifies the data that is required to measure the impact of the CAZ on specific areas, the rationale for including it, how the data is collected and at what frequency.</w:t>
      </w:r>
    </w:p>
    <w:p w14:paraId="3B622E67" w14:textId="0CA06285" w:rsidR="00473677" w:rsidRPr="00473677" w:rsidRDefault="00473677">
      <w:pPr>
        <w:rPr>
          <w:szCs w:val="24"/>
        </w:rPr>
      </w:pPr>
      <w:r w:rsidRPr="00473677">
        <w:rPr>
          <w:szCs w:val="24"/>
        </w:rPr>
        <w:t xml:space="preserve">Table 1- Data collection and collation as planned from the Monitoring and Evaluation Plan. </w:t>
      </w:r>
    </w:p>
    <w:tbl>
      <w:tblPr>
        <w:tblStyle w:val="TableGrid"/>
        <w:tblW w:w="9464" w:type="dxa"/>
        <w:tblLook w:val="04A0" w:firstRow="1" w:lastRow="0" w:firstColumn="1" w:lastColumn="0" w:noHBand="0" w:noVBand="1"/>
      </w:tblPr>
      <w:tblGrid>
        <w:gridCol w:w="2478"/>
        <w:gridCol w:w="1659"/>
        <w:gridCol w:w="1708"/>
        <w:gridCol w:w="1720"/>
        <w:gridCol w:w="1899"/>
      </w:tblGrid>
      <w:tr w:rsidR="00473677" w:rsidRPr="00053476" w14:paraId="6CF9D380" w14:textId="77777777" w:rsidTr="00D71CDB">
        <w:trPr>
          <w:cantSplit/>
          <w:tblHeader/>
        </w:trPr>
        <w:tc>
          <w:tcPr>
            <w:tcW w:w="2478" w:type="dxa"/>
            <w:shd w:val="clear" w:color="auto" w:fill="DAE9F7" w:themeFill="text2" w:themeFillTint="1A"/>
            <w:vAlign w:val="center"/>
          </w:tcPr>
          <w:p w14:paraId="45D5FD50" w14:textId="77777777" w:rsidR="00473677" w:rsidRPr="00053476" w:rsidRDefault="00473677" w:rsidP="00B36D3A">
            <w:pPr>
              <w:pStyle w:val="TableHead"/>
              <w:rPr>
                <w:rFonts w:ascii="Arial" w:hAnsi="Arial" w:cs="Arial"/>
                <w:sz w:val="22"/>
                <w:szCs w:val="22"/>
              </w:rPr>
            </w:pPr>
            <w:r w:rsidRPr="00053476">
              <w:rPr>
                <w:rFonts w:ascii="Arial" w:hAnsi="Arial" w:cs="Arial"/>
                <w:sz w:val="22"/>
                <w:szCs w:val="22"/>
              </w:rPr>
              <w:t>Measure</w:t>
            </w:r>
          </w:p>
        </w:tc>
        <w:tc>
          <w:tcPr>
            <w:tcW w:w="1659" w:type="dxa"/>
            <w:shd w:val="clear" w:color="auto" w:fill="DAE9F7" w:themeFill="text2" w:themeFillTint="1A"/>
            <w:vAlign w:val="center"/>
          </w:tcPr>
          <w:p w14:paraId="3D63C872" w14:textId="77777777" w:rsidR="00473677" w:rsidRPr="00053476" w:rsidRDefault="00473677" w:rsidP="00B36D3A">
            <w:pPr>
              <w:pStyle w:val="TableHead"/>
              <w:rPr>
                <w:rFonts w:ascii="Arial" w:hAnsi="Arial" w:cs="Arial"/>
                <w:sz w:val="22"/>
                <w:szCs w:val="22"/>
              </w:rPr>
            </w:pPr>
            <w:r w:rsidRPr="00053476">
              <w:rPr>
                <w:rFonts w:ascii="Arial" w:hAnsi="Arial" w:cs="Arial"/>
                <w:sz w:val="22"/>
                <w:szCs w:val="22"/>
              </w:rPr>
              <w:t>Data to be Used</w:t>
            </w:r>
          </w:p>
        </w:tc>
        <w:tc>
          <w:tcPr>
            <w:tcW w:w="1708" w:type="dxa"/>
            <w:shd w:val="clear" w:color="auto" w:fill="DAE9F7" w:themeFill="text2" w:themeFillTint="1A"/>
            <w:vAlign w:val="center"/>
          </w:tcPr>
          <w:p w14:paraId="380D83D9" w14:textId="77777777" w:rsidR="00473677" w:rsidRPr="00053476" w:rsidRDefault="00473677" w:rsidP="00B36D3A">
            <w:pPr>
              <w:pStyle w:val="TableHead"/>
              <w:rPr>
                <w:rFonts w:ascii="Arial" w:hAnsi="Arial" w:cs="Arial"/>
                <w:sz w:val="22"/>
                <w:szCs w:val="22"/>
              </w:rPr>
            </w:pPr>
            <w:r w:rsidRPr="00053476">
              <w:rPr>
                <w:rFonts w:ascii="Arial" w:hAnsi="Arial" w:cs="Arial"/>
                <w:sz w:val="22"/>
                <w:szCs w:val="22"/>
              </w:rPr>
              <w:t>Rationale for Inclusion</w:t>
            </w:r>
          </w:p>
        </w:tc>
        <w:tc>
          <w:tcPr>
            <w:tcW w:w="1720" w:type="dxa"/>
            <w:shd w:val="clear" w:color="auto" w:fill="DAE9F7" w:themeFill="text2" w:themeFillTint="1A"/>
            <w:vAlign w:val="center"/>
          </w:tcPr>
          <w:p w14:paraId="7987EBC7" w14:textId="77777777" w:rsidR="00473677" w:rsidRPr="00053476" w:rsidRDefault="00473677" w:rsidP="00B36D3A">
            <w:pPr>
              <w:pStyle w:val="TableHead"/>
              <w:rPr>
                <w:rFonts w:ascii="Arial" w:hAnsi="Arial" w:cs="Arial"/>
                <w:sz w:val="22"/>
                <w:szCs w:val="22"/>
              </w:rPr>
            </w:pPr>
            <w:r w:rsidRPr="00053476">
              <w:rPr>
                <w:rFonts w:ascii="Arial" w:hAnsi="Arial" w:cs="Arial"/>
                <w:sz w:val="22"/>
                <w:szCs w:val="22"/>
              </w:rPr>
              <w:t>Data Collection Methods</w:t>
            </w:r>
          </w:p>
        </w:tc>
        <w:tc>
          <w:tcPr>
            <w:tcW w:w="1899" w:type="dxa"/>
            <w:shd w:val="clear" w:color="auto" w:fill="DAE9F7" w:themeFill="text2" w:themeFillTint="1A"/>
            <w:vAlign w:val="center"/>
          </w:tcPr>
          <w:p w14:paraId="6E6D2A3A" w14:textId="77777777" w:rsidR="00473677" w:rsidRPr="00053476" w:rsidRDefault="00473677" w:rsidP="00B36D3A">
            <w:pPr>
              <w:pStyle w:val="TableHead"/>
              <w:rPr>
                <w:rFonts w:ascii="Arial" w:hAnsi="Arial" w:cs="Arial"/>
                <w:sz w:val="22"/>
                <w:szCs w:val="22"/>
              </w:rPr>
            </w:pPr>
            <w:r w:rsidRPr="00053476">
              <w:rPr>
                <w:rFonts w:ascii="Arial" w:hAnsi="Arial" w:cs="Arial"/>
                <w:sz w:val="22"/>
                <w:szCs w:val="22"/>
              </w:rPr>
              <w:t>Frequency of Data Collection</w:t>
            </w:r>
          </w:p>
        </w:tc>
      </w:tr>
      <w:tr w:rsidR="00473677" w:rsidRPr="00053476" w14:paraId="05EE62BE" w14:textId="77777777" w:rsidTr="00B36D3A">
        <w:tc>
          <w:tcPr>
            <w:tcW w:w="2478" w:type="dxa"/>
            <w:vAlign w:val="center"/>
          </w:tcPr>
          <w:p w14:paraId="4733CD03"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M1: Air quality data</w:t>
            </w:r>
          </w:p>
        </w:tc>
        <w:tc>
          <w:tcPr>
            <w:tcW w:w="1659" w:type="dxa"/>
            <w:vAlign w:val="center"/>
          </w:tcPr>
          <w:p w14:paraId="294CBB24"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NO</w:t>
            </w:r>
            <w:r w:rsidRPr="00053476">
              <w:rPr>
                <w:rFonts w:ascii="Arial" w:hAnsi="Arial" w:cs="Arial"/>
                <w:sz w:val="22"/>
                <w:szCs w:val="22"/>
                <w:vertAlign w:val="subscript"/>
              </w:rPr>
              <w:t xml:space="preserve">2 </w:t>
            </w:r>
            <w:r w:rsidRPr="00053476">
              <w:rPr>
                <w:rFonts w:ascii="Arial" w:hAnsi="Arial" w:cs="Arial"/>
                <w:sz w:val="22"/>
                <w:szCs w:val="22"/>
              </w:rPr>
              <w:t>concentration data collected at existing monitoring locations in Bath and wider B&amp;NES</w:t>
            </w:r>
          </w:p>
        </w:tc>
        <w:tc>
          <w:tcPr>
            <w:tcW w:w="1708" w:type="dxa"/>
            <w:vAlign w:val="center"/>
          </w:tcPr>
          <w:p w14:paraId="7FB41FC1"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To understand changes in air quality data, particularly NO</w:t>
            </w:r>
            <w:r w:rsidRPr="00053476">
              <w:rPr>
                <w:rFonts w:ascii="Arial" w:hAnsi="Arial" w:cs="Arial"/>
                <w:sz w:val="22"/>
                <w:szCs w:val="22"/>
                <w:vertAlign w:val="subscript"/>
              </w:rPr>
              <w:t>2</w:t>
            </w:r>
            <w:r w:rsidRPr="00053476">
              <w:rPr>
                <w:rFonts w:ascii="Arial" w:hAnsi="Arial" w:cs="Arial"/>
                <w:sz w:val="22"/>
                <w:szCs w:val="22"/>
              </w:rPr>
              <w:t xml:space="preserve"> concentrations.</w:t>
            </w:r>
          </w:p>
        </w:tc>
        <w:tc>
          <w:tcPr>
            <w:tcW w:w="1720" w:type="dxa"/>
            <w:vAlign w:val="center"/>
          </w:tcPr>
          <w:p w14:paraId="3C331A7C"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Diffusion tubes and real time monitoring</w:t>
            </w:r>
          </w:p>
        </w:tc>
        <w:tc>
          <w:tcPr>
            <w:tcW w:w="1899" w:type="dxa"/>
            <w:vAlign w:val="center"/>
          </w:tcPr>
          <w:p w14:paraId="0F8BEC21"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Baseline (pre-scheme) then continuous monitoring. </w:t>
            </w:r>
          </w:p>
        </w:tc>
      </w:tr>
      <w:tr w:rsidR="00473677" w:rsidRPr="00053476" w14:paraId="2D1C60DD" w14:textId="77777777" w:rsidTr="00B36D3A">
        <w:tc>
          <w:tcPr>
            <w:tcW w:w="2478" w:type="dxa"/>
            <w:vAlign w:val="center"/>
          </w:tcPr>
          <w:p w14:paraId="254EC1B5"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M2: Traffic Flows</w:t>
            </w:r>
          </w:p>
        </w:tc>
        <w:tc>
          <w:tcPr>
            <w:tcW w:w="1659" w:type="dxa"/>
            <w:vAlign w:val="center"/>
          </w:tcPr>
          <w:p w14:paraId="5969F673"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Traffic Flows in and around the CAZ areas </w:t>
            </w:r>
            <w:r>
              <w:rPr>
                <w:rFonts w:ascii="Arial" w:hAnsi="Arial" w:cs="Arial"/>
                <w:sz w:val="22"/>
                <w:szCs w:val="22"/>
              </w:rPr>
              <w:t>is</w:t>
            </w:r>
            <w:r w:rsidRPr="00053476">
              <w:rPr>
                <w:rFonts w:ascii="Arial" w:hAnsi="Arial" w:cs="Arial"/>
                <w:sz w:val="22"/>
                <w:szCs w:val="22"/>
              </w:rPr>
              <w:t xml:space="preserve"> collected to understand the changes in traffic flows </w:t>
            </w:r>
            <w:proofErr w:type="gramStart"/>
            <w:r w:rsidRPr="00053476">
              <w:rPr>
                <w:rFonts w:ascii="Arial" w:hAnsi="Arial" w:cs="Arial"/>
                <w:sz w:val="22"/>
                <w:szCs w:val="22"/>
              </w:rPr>
              <w:t>as a result of</w:t>
            </w:r>
            <w:proofErr w:type="gramEnd"/>
            <w:r w:rsidRPr="00053476">
              <w:rPr>
                <w:rFonts w:ascii="Arial" w:hAnsi="Arial" w:cs="Arial"/>
                <w:sz w:val="22"/>
                <w:szCs w:val="22"/>
              </w:rPr>
              <w:t xml:space="preserve"> the scheme.</w:t>
            </w:r>
          </w:p>
        </w:tc>
        <w:tc>
          <w:tcPr>
            <w:tcW w:w="1708" w:type="dxa"/>
            <w:vAlign w:val="center"/>
          </w:tcPr>
          <w:p w14:paraId="51206E5F" w14:textId="77777777" w:rsidR="00473677" w:rsidRDefault="00473677" w:rsidP="00B36D3A">
            <w:pPr>
              <w:pStyle w:val="TableBodyCEN"/>
              <w:jc w:val="left"/>
              <w:rPr>
                <w:rFonts w:ascii="Arial" w:hAnsi="Arial" w:cs="Arial"/>
                <w:sz w:val="22"/>
                <w:szCs w:val="22"/>
              </w:rPr>
            </w:pPr>
            <w:r w:rsidRPr="00053476">
              <w:rPr>
                <w:rFonts w:ascii="Arial" w:hAnsi="Arial" w:cs="Arial"/>
                <w:sz w:val="22"/>
                <w:szCs w:val="22"/>
              </w:rPr>
              <w:t>To understand changes in traffic flows along key corridors and links on the highway network. This include</w:t>
            </w:r>
            <w:r>
              <w:rPr>
                <w:rFonts w:ascii="Arial" w:hAnsi="Arial" w:cs="Arial"/>
                <w:sz w:val="22"/>
                <w:szCs w:val="22"/>
              </w:rPr>
              <w:t>s</w:t>
            </w:r>
            <w:r w:rsidRPr="00053476">
              <w:rPr>
                <w:rFonts w:ascii="Arial" w:hAnsi="Arial" w:cs="Arial"/>
                <w:sz w:val="22"/>
                <w:szCs w:val="22"/>
              </w:rPr>
              <w:t xml:space="preserve"> possible ‘rat-run’ routes which may have been created by the CAZ, so responding to consultation concerns by residents in specific areas. </w:t>
            </w:r>
          </w:p>
          <w:p w14:paraId="64370F1F" w14:textId="77777777" w:rsidR="00473677" w:rsidRPr="00053476" w:rsidRDefault="00473677" w:rsidP="00B36D3A">
            <w:pPr>
              <w:pStyle w:val="TableBodyCEN"/>
              <w:jc w:val="left"/>
              <w:rPr>
                <w:rFonts w:ascii="Arial" w:hAnsi="Arial" w:cs="Arial"/>
                <w:sz w:val="22"/>
                <w:szCs w:val="22"/>
              </w:rPr>
            </w:pPr>
          </w:p>
        </w:tc>
        <w:tc>
          <w:tcPr>
            <w:tcW w:w="1720" w:type="dxa"/>
            <w:vAlign w:val="center"/>
          </w:tcPr>
          <w:p w14:paraId="2F4C0595"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ANPR cordon and ancillary Manual Classified Counts (MTC) or Automated Traffic Counts (ATC) on key roads or perceived ‘rat-runs’</w:t>
            </w:r>
          </w:p>
        </w:tc>
        <w:tc>
          <w:tcPr>
            <w:tcW w:w="1899" w:type="dxa"/>
            <w:vAlign w:val="center"/>
          </w:tcPr>
          <w:p w14:paraId="127EFF7F" w14:textId="77777777" w:rsidR="00473677" w:rsidRPr="00053476" w:rsidRDefault="00473677" w:rsidP="00B36D3A">
            <w:pPr>
              <w:pStyle w:val="TableBodyCEN"/>
              <w:jc w:val="left"/>
              <w:rPr>
                <w:rFonts w:ascii="Arial" w:hAnsi="Arial" w:cs="Arial"/>
                <w:sz w:val="22"/>
                <w:szCs w:val="22"/>
              </w:rPr>
            </w:pPr>
            <w:r>
              <w:rPr>
                <w:rFonts w:ascii="Arial" w:hAnsi="Arial" w:cs="Arial"/>
                <w:sz w:val="22"/>
                <w:szCs w:val="22"/>
              </w:rPr>
              <w:t>B</w:t>
            </w:r>
            <w:r w:rsidRPr="00053476">
              <w:rPr>
                <w:rFonts w:ascii="Arial" w:hAnsi="Arial" w:cs="Arial"/>
                <w:sz w:val="22"/>
                <w:szCs w:val="22"/>
              </w:rPr>
              <w:t>aseline (pre-scheme) then continuous</w:t>
            </w:r>
            <w:r>
              <w:rPr>
                <w:rFonts w:ascii="Arial" w:hAnsi="Arial" w:cs="Arial"/>
                <w:sz w:val="22"/>
                <w:szCs w:val="22"/>
              </w:rPr>
              <w:t xml:space="preserve"> monitoring.</w:t>
            </w:r>
          </w:p>
        </w:tc>
      </w:tr>
      <w:tr w:rsidR="00473677" w:rsidRPr="00053476" w14:paraId="0DCCA6FB" w14:textId="77777777" w:rsidTr="00B36D3A">
        <w:tc>
          <w:tcPr>
            <w:tcW w:w="2478" w:type="dxa"/>
            <w:vAlign w:val="center"/>
          </w:tcPr>
          <w:p w14:paraId="34BCBAD4"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lastRenderedPageBreak/>
              <w:t>M3: Vehicular fleet information</w:t>
            </w:r>
          </w:p>
        </w:tc>
        <w:tc>
          <w:tcPr>
            <w:tcW w:w="1659" w:type="dxa"/>
            <w:vAlign w:val="center"/>
          </w:tcPr>
          <w:p w14:paraId="475827DD"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Number of compliant/non-compliant vehicles travelling within Bath</w:t>
            </w:r>
          </w:p>
        </w:tc>
        <w:tc>
          <w:tcPr>
            <w:tcW w:w="1708" w:type="dxa"/>
            <w:vAlign w:val="center"/>
          </w:tcPr>
          <w:p w14:paraId="1BFE22C1"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To understand changes in the type of vehicles travelling in Bath.</w:t>
            </w:r>
          </w:p>
        </w:tc>
        <w:tc>
          <w:tcPr>
            <w:tcW w:w="1720" w:type="dxa"/>
            <w:vAlign w:val="center"/>
          </w:tcPr>
          <w:p w14:paraId="7F87F4F1"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ANPR cordon, cross-referencing with DVLA vehicle database </w:t>
            </w:r>
          </w:p>
        </w:tc>
        <w:tc>
          <w:tcPr>
            <w:tcW w:w="1899" w:type="dxa"/>
            <w:vAlign w:val="center"/>
          </w:tcPr>
          <w:p w14:paraId="1DCCAF8C" w14:textId="77777777" w:rsidR="00473677" w:rsidRDefault="00473677" w:rsidP="00B36D3A">
            <w:pPr>
              <w:pStyle w:val="TableBodyCEN"/>
              <w:jc w:val="left"/>
              <w:rPr>
                <w:rFonts w:ascii="Arial" w:hAnsi="Arial" w:cs="Arial"/>
                <w:sz w:val="22"/>
                <w:szCs w:val="22"/>
              </w:rPr>
            </w:pPr>
            <w:r w:rsidRPr="00053476">
              <w:rPr>
                <w:rFonts w:ascii="Arial" w:hAnsi="Arial" w:cs="Arial"/>
                <w:sz w:val="22"/>
                <w:szCs w:val="22"/>
              </w:rPr>
              <w:t xml:space="preserve">Baseline (pre-scheme) then </w:t>
            </w:r>
            <w:r>
              <w:rPr>
                <w:rFonts w:ascii="Arial" w:hAnsi="Arial" w:cs="Arial"/>
                <w:sz w:val="22"/>
                <w:szCs w:val="22"/>
              </w:rPr>
              <w:t>continuous</w:t>
            </w:r>
          </w:p>
          <w:p w14:paraId="50775A36" w14:textId="77777777" w:rsidR="00473677" w:rsidRPr="00053476" w:rsidRDefault="00473677" w:rsidP="00B36D3A">
            <w:pPr>
              <w:pStyle w:val="TableBodyCEN"/>
              <w:jc w:val="left"/>
              <w:rPr>
                <w:rFonts w:ascii="Arial" w:hAnsi="Arial" w:cs="Arial"/>
                <w:sz w:val="22"/>
                <w:szCs w:val="22"/>
              </w:rPr>
            </w:pPr>
            <w:r>
              <w:rPr>
                <w:rFonts w:ascii="Arial" w:hAnsi="Arial" w:cs="Arial"/>
                <w:sz w:val="22"/>
                <w:szCs w:val="22"/>
              </w:rPr>
              <w:t>Monitoring.</w:t>
            </w:r>
          </w:p>
        </w:tc>
      </w:tr>
      <w:tr w:rsidR="00473677" w:rsidRPr="00053476" w14:paraId="0A3655EF" w14:textId="77777777" w:rsidTr="00B36D3A">
        <w:tc>
          <w:tcPr>
            <w:tcW w:w="2478" w:type="dxa"/>
            <w:vAlign w:val="center"/>
          </w:tcPr>
          <w:p w14:paraId="7F2EAB18"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M4: Retail/business/office space vacancy figures</w:t>
            </w:r>
          </w:p>
        </w:tc>
        <w:tc>
          <w:tcPr>
            <w:tcW w:w="1659" w:type="dxa"/>
            <w:vAlign w:val="center"/>
          </w:tcPr>
          <w:p w14:paraId="3C66B599"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Vacancy statistics from internal council data (B&amp;NES economy and growth team). Market data from property consultants. Purchasing Managers Index.</w:t>
            </w:r>
          </w:p>
        </w:tc>
        <w:tc>
          <w:tcPr>
            <w:tcW w:w="1708" w:type="dxa"/>
            <w:vAlign w:val="center"/>
          </w:tcPr>
          <w:p w14:paraId="4B518E6A"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To understand changes to the number of businesses operating in Bath </w:t>
            </w:r>
            <w:proofErr w:type="gramStart"/>
            <w:r w:rsidRPr="00053476">
              <w:rPr>
                <w:rFonts w:ascii="Arial" w:hAnsi="Arial" w:cs="Arial"/>
                <w:sz w:val="22"/>
                <w:szCs w:val="22"/>
              </w:rPr>
              <w:t>in order to</w:t>
            </w:r>
            <w:proofErr w:type="gramEnd"/>
            <w:r w:rsidRPr="00053476">
              <w:rPr>
                <w:rFonts w:ascii="Arial" w:hAnsi="Arial" w:cs="Arial"/>
                <w:sz w:val="22"/>
                <w:szCs w:val="22"/>
              </w:rPr>
              <w:t xml:space="preserve"> assess economic impacts. </w:t>
            </w:r>
          </w:p>
        </w:tc>
        <w:tc>
          <w:tcPr>
            <w:tcW w:w="1720" w:type="dxa"/>
            <w:vAlign w:val="center"/>
          </w:tcPr>
          <w:p w14:paraId="12D15E90"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Internal data collection as part of ongoing process. Regular property market reports published by property consultants in the public domain could also be utilised.</w:t>
            </w:r>
          </w:p>
        </w:tc>
        <w:tc>
          <w:tcPr>
            <w:tcW w:w="1899" w:type="dxa"/>
            <w:vAlign w:val="center"/>
          </w:tcPr>
          <w:p w14:paraId="05257CED"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Baseline (pre-scheme) then annually</w:t>
            </w:r>
            <w:r>
              <w:rPr>
                <w:rFonts w:ascii="Arial" w:hAnsi="Arial" w:cs="Arial"/>
                <w:sz w:val="22"/>
                <w:szCs w:val="22"/>
              </w:rPr>
              <w:t>.</w:t>
            </w:r>
          </w:p>
        </w:tc>
      </w:tr>
      <w:tr w:rsidR="00473677" w:rsidRPr="00053476" w14:paraId="4C41F771" w14:textId="77777777" w:rsidTr="00B36D3A">
        <w:tc>
          <w:tcPr>
            <w:tcW w:w="2478" w:type="dxa"/>
            <w:vAlign w:val="center"/>
          </w:tcPr>
          <w:p w14:paraId="618B7063"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M5: Retail footfall surveys</w:t>
            </w:r>
          </w:p>
        </w:tc>
        <w:tc>
          <w:tcPr>
            <w:tcW w:w="1659" w:type="dxa"/>
            <w:vAlign w:val="center"/>
          </w:tcPr>
          <w:p w14:paraId="3D637981"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Footfall data from Bath Business Improvement District data and internal council data.</w:t>
            </w:r>
          </w:p>
        </w:tc>
        <w:tc>
          <w:tcPr>
            <w:tcW w:w="1708" w:type="dxa"/>
            <w:vAlign w:val="center"/>
          </w:tcPr>
          <w:p w14:paraId="2C392727"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To understand changes to the number of people entering shops in Bath as well as the time they spend in each shop.</w:t>
            </w:r>
          </w:p>
        </w:tc>
        <w:tc>
          <w:tcPr>
            <w:tcW w:w="1720" w:type="dxa"/>
            <w:vAlign w:val="center"/>
          </w:tcPr>
          <w:p w14:paraId="279FBC1E"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Bath BID and B&amp;NES collect this data as part of ongoing processes. </w:t>
            </w:r>
          </w:p>
        </w:tc>
        <w:tc>
          <w:tcPr>
            <w:tcW w:w="1899" w:type="dxa"/>
            <w:vAlign w:val="center"/>
          </w:tcPr>
          <w:p w14:paraId="3600802C"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Baseline (pre-scheme) then annually</w:t>
            </w:r>
            <w:r>
              <w:rPr>
                <w:rFonts w:ascii="Arial" w:hAnsi="Arial" w:cs="Arial"/>
                <w:sz w:val="22"/>
                <w:szCs w:val="22"/>
              </w:rPr>
              <w:t>.</w:t>
            </w:r>
          </w:p>
        </w:tc>
      </w:tr>
      <w:tr w:rsidR="00473677" w:rsidRPr="00053476" w14:paraId="4A2034F6" w14:textId="77777777" w:rsidTr="00B36D3A">
        <w:tc>
          <w:tcPr>
            <w:tcW w:w="2478" w:type="dxa"/>
            <w:vAlign w:val="center"/>
          </w:tcPr>
          <w:p w14:paraId="19BE93A1"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 xml:space="preserve">M6: Park and Ride passenger data </w:t>
            </w:r>
          </w:p>
        </w:tc>
        <w:tc>
          <w:tcPr>
            <w:tcW w:w="1659" w:type="dxa"/>
            <w:vAlign w:val="center"/>
          </w:tcPr>
          <w:p w14:paraId="3F323858"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Occupancy statistics (Cloud Amber) and bus ticket data (First).</w:t>
            </w:r>
          </w:p>
          <w:p w14:paraId="04A84BEF"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Monitor fleet mix</w:t>
            </w:r>
          </w:p>
        </w:tc>
        <w:tc>
          <w:tcPr>
            <w:tcW w:w="1708" w:type="dxa"/>
            <w:vAlign w:val="center"/>
          </w:tcPr>
          <w:p w14:paraId="4775B9A2"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To understand changes in the number of people and the type of vehicle using the P&amp;R into Bath.  </w:t>
            </w:r>
          </w:p>
        </w:tc>
        <w:tc>
          <w:tcPr>
            <w:tcW w:w="1720" w:type="dxa"/>
            <w:vAlign w:val="center"/>
          </w:tcPr>
          <w:p w14:paraId="0A5F6355"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Collected as part of ongoing monitoring activities by operators.</w:t>
            </w:r>
          </w:p>
          <w:p w14:paraId="08726170"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ANPR at entrance to Park and Rides</w:t>
            </w:r>
          </w:p>
        </w:tc>
        <w:tc>
          <w:tcPr>
            <w:tcW w:w="1899" w:type="dxa"/>
            <w:vAlign w:val="center"/>
          </w:tcPr>
          <w:p w14:paraId="2710C9F3"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Baseline (pre-scheme) then biannually</w:t>
            </w:r>
            <w:r>
              <w:rPr>
                <w:rFonts w:ascii="Arial" w:hAnsi="Arial" w:cs="Arial"/>
                <w:sz w:val="22"/>
                <w:szCs w:val="22"/>
              </w:rPr>
              <w:t>.</w:t>
            </w:r>
          </w:p>
        </w:tc>
      </w:tr>
      <w:tr w:rsidR="00473677" w:rsidRPr="00053476" w14:paraId="342AA2A1" w14:textId="77777777" w:rsidTr="00B36D3A">
        <w:tc>
          <w:tcPr>
            <w:tcW w:w="2478" w:type="dxa"/>
            <w:vAlign w:val="center"/>
          </w:tcPr>
          <w:p w14:paraId="509C985C"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M7: Walking and cycling counts</w:t>
            </w:r>
          </w:p>
        </w:tc>
        <w:tc>
          <w:tcPr>
            <w:tcW w:w="1659" w:type="dxa"/>
            <w:vAlign w:val="center"/>
          </w:tcPr>
          <w:p w14:paraId="228DD6D8"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Pedestrian and cycle </w:t>
            </w:r>
            <w:proofErr w:type="gramStart"/>
            <w:r w:rsidRPr="00053476">
              <w:rPr>
                <w:rFonts w:ascii="Arial" w:hAnsi="Arial" w:cs="Arial"/>
                <w:sz w:val="22"/>
                <w:szCs w:val="22"/>
              </w:rPr>
              <w:lastRenderedPageBreak/>
              <w:t>counts</w:t>
            </w:r>
            <w:proofErr w:type="gramEnd"/>
            <w:r w:rsidRPr="00053476">
              <w:rPr>
                <w:rFonts w:ascii="Arial" w:hAnsi="Arial" w:cs="Arial"/>
                <w:sz w:val="22"/>
                <w:szCs w:val="22"/>
              </w:rPr>
              <w:t xml:space="preserve"> on key arterial routes</w:t>
            </w:r>
          </w:p>
        </w:tc>
        <w:tc>
          <w:tcPr>
            <w:tcW w:w="1708" w:type="dxa"/>
            <w:vAlign w:val="center"/>
          </w:tcPr>
          <w:p w14:paraId="3677D2A5"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lastRenderedPageBreak/>
              <w:t xml:space="preserve">To understand changes in the number of </w:t>
            </w:r>
            <w:r w:rsidRPr="00053476">
              <w:rPr>
                <w:rFonts w:ascii="Arial" w:hAnsi="Arial" w:cs="Arial"/>
                <w:sz w:val="22"/>
                <w:szCs w:val="22"/>
              </w:rPr>
              <w:lastRenderedPageBreak/>
              <w:t>people walking and cycling on key routes within Bath.</w:t>
            </w:r>
          </w:p>
        </w:tc>
        <w:tc>
          <w:tcPr>
            <w:tcW w:w="1720" w:type="dxa"/>
            <w:vAlign w:val="center"/>
          </w:tcPr>
          <w:p w14:paraId="2DD8C3EE"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lastRenderedPageBreak/>
              <w:t>Commissioning of new surveys</w:t>
            </w:r>
          </w:p>
        </w:tc>
        <w:tc>
          <w:tcPr>
            <w:tcW w:w="1899" w:type="dxa"/>
            <w:vAlign w:val="center"/>
          </w:tcPr>
          <w:p w14:paraId="6FE15FF1"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Baseline (pre-scheme) then annually</w:t>
            </w:r>
            <w:r>
              <w:rPr>
                <w:rFonts w:ascii="Arial" w:hAnsi="Arial" w:cs="Arial"/>
                <w:sz w:val="22"/>
                <w:szCs w:val="22"/>
              </w:rPr>
              <w:t>.</w:t>
            </w:r>
          </w:p>
        </w:tc>
      </w:tr>
      <w:tr w:rsidR="00473677" w:rsidRPr="00053476" w14:paraId="3BE54EF5" w14:textId="77777777" w:rsidTr="00B36D3A">
        <w:tc>
          <w:tcPr>
            <w:tcW w:w="2478" w:type="dxa"/>
            <w:vAlign w:val="center"/>
          </w:tcPr>
          <w:p w14:paraId="62ADBA8D"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M8: Bus usage and fare data</w:t>
            </w:r>
          </w:p>
        </w:tc>
        <w:tc>
          <w:tcPr>
            <w:tcW w:w="1659" w:type="dxa"/>
            <w:vAlign w:val="center"/>
          </w:tcPr>
          <w:p w14:paraId="3DDA98AD"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Occupancy statistics (Cloud Amber) and bus ticket data (First).</w:t>
            </w:r>
          </w:p>
        </w:tc>
        <w:tc>
          <w:tcPr>
            <w:tcW w:w="1708" w:type="dxa"/>
            <w:vAlign w:val="center"/>
          </w:tcPr>
          <w:p w14:paraId="061FFC71"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To understand changes in the number of people using the bus on each route into Bath.</w:t>
            </w:r>
          </w:p>
        </w:tc>
        <w:tc>
          <w:tcPr>
            <w:tcW w:w="1720" w:type="dxa"/>
            <w:vAlign w:val="center"/>
          </w:tcPr>
          <w:p w14:paraId="14243B7E"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Collected as part of ongoing monitoring activities by operators.</w:t>
            </w:r>
          </w:p>
        </w:tc>
        <w:tc>
          <w:tcPr>
            <w:tcW w:w="1899" w:type="dxa"/>
            <w:vAlign w:val="center"/>
          </w:tcPr>
          <w:p w14:paraId="4D0B0C57"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Baseline (pre-scheme) then annually</w:t>
            </w:r>
            <w:r>
              <w:rPr>
                <w:rFonts w:ascii="Arial" w:hAnsi="Arial" w:cs="Arial"/>
                <w:sz w:val="22"/>
                <w:szCs w:val="22"/>
              </w:rPr>
              <w:t>.</w:t>
            </w:r>
          </w:p>
        </w:tc>
      </w:tr>
      <w:tr w:rsidR="00473677" w:rsidRPr="00053476" w14:paraId="1CC43A6E" w14:textId="77777777" w:rsidTr="00B36D3A">
        <w:tc>
          <w:tcPr>
            <w:tcW w:w="2478" w:type="dxa"/>
            <w:vAlign w:val="center"/>
          </w:tcPr>
          <w:p w14:paraId="6712CF50"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M9: Stakeholder Feedback from Council User Group Forums</w:t>
            </w:r>
          </w:p>
        </w:tc>
        <w:tc>
          <w:tcPr>
            <w:tcW w:w="1659" w:type="dxa"/>
            <w:vAlign w:val="center"/>
          </w:tcPr>
          <w:p w14:paraId="57A826BF"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Stakeholder Feedback covering relevant elected members, stakeholder groups, the LEP. Voice Box survey. Protected groups survey.</w:t>
            </w:r>
          </w:p>
        </w:tc>
        <w:tc>
          <w:tcPr>
            <w:tcW w:w="1708" w:type="dxa"/>
            <w:vAlign w:val="center"/>
          </w:tcPr>
          <w:p w14:paraId="68E362CC"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Understand the views of stakeholders to scheme delivery and impacts, and to understand some of the less quantified effects, including package effects.</w:t>
            </w:r>
          </w:p>
        </w:tc>
        <w:tc>
          <w:tcPr>
            <w:tcW w:w="1720" w:type="dxa"/>
            <w:vAlign w:val="center"/>
          </w:tcPr>
          <w:p w14:paraId="76521E26"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Part of the on-going consultation process for transport strategies in the </w:t>
            </w:r>
            <w:proofErr w:type="gramStart"/>
            <w:r w:rsidRPr="00053476">
              <w:rPr>
                <w:rFonts w:ascii="Arial" w:hAnsi="Arial" w:cs="Arial"/>
                <w:sz w:val="22"/>
                <w:szCs w:val="22"/>
              </w:rPr>
              <w:t>City</w:t>
            </w:r>
            <w:proofErr w:type="gramEnd"/>
            <w:r w:rsidRPr="00053476">
              <w:rPr>
                <w:rFonts w:ascii="Arial" w:hAnsi="Arial" w:cs="Arial"/>
                <w:sz w:val="22"/>
                <w:szCs w:val="22"/>
              </w:rPr>
              <w:t>.</w:t>
            </w:r>
          </w:p>
        </w:tc>
        <w:tc>
          <w:tcPr>
            <w:tcW w:w="1899" w:type="dxa"/>
            <w:vAlign w:val="center"/>
          </w:tcPr>
          <w:p w14:paraId="475B832D"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1, 3, 5 years after scheme opening</w:t>
            </w:r>
            <w:r>
              <w:rPr>
                <w:rFonts w:ascii="Arial" w:hAnsi="Arial" w:cs="Arial"/>
                <w:sz w:val="22"/>
                <w:szCs w:val="22"/>
              </w:rPr>
              <w:t>.</w:t>
            </w:r>
          </w:p>
        </w:tc>
      </w:tr>
      <w:tr w:rsidR="00473677" w:rsidRPr="00053476" w14:paraId="436B3B1A" w14:textId="77777777" w:rsidTr="00B36D3A">
        <w:tc>
          <w:tcPr>
            <w:tcW w:w="2478" w:type="dxa"/>
            <w:vAlign w:val="center"/>
          </w:tcPr>
          <w:p w14:paraId="2F0242B6"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M10: Taxi fares and unmet demand</w:t>
            </w:r>
          </w:p>
        </w:tc>
        <w:tc>
          <w:tcPr>
            <w:tcW w:w="1659" w:type="dxa"/>
            <w:vAlign w:val="center"/>
          </w:tcPr>
          <w:p w14:paraId="04C6152A"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Taxi fare data and unmet demand surveys</w:t>
            </w:r>
          </w:p>
        </w:tc>
        <w:tc>
          <w:tcPr>
            <w:tcW w:w="1708" w:type="dxa"/>
            <w:vAlign w:val="center"/>
          </w:tcPr>
          <w:p w14:paraId="3E26A5F4"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To understand changes to fares and demand </w:t>
            </w:r>
            <w:r>
              <w:rPr>
                <w:rFonts w:ascii="Arial" w:hAnsi="Arial" w:cs="Arial"/>
                <w:sz w:val="22"/>
                <w:szCs w:val="22"/>
              </w:rPr>
              <w:t>for</w:t>
            </w:r>
            <w:r w:rsidRPr="00053476">
              <w:rPr>
                <w:rFonts w:ascii="Arial" w:hAnsi="Arial" w:cs="Arial"/>
                <w:sz w:val="22"/>
                <w:szCs w:val="22"/>
              </w:rPr>
              <w:t xml:space="preserve"> taxis </w:t>
            </w:r>
            <w:proofErr w:type="gramStart"/>
            <w:r w:rsidRPr="00053476">
              <w:rPr>
                <w:rFonts w:ascii="Arial" w:hAnsi="Arial" w:cs="Arial"/>
                <w:sz w:val="22"/>
                <w:szCs w:val="22"/>
              </w:rPr>
              <w:t>in order to</w:t>
            </w:r>
            <w:proofErr w:type="gramEnd"/>
            <w:r w:rsidRPr="00053476">
              <w:rPr>
                <w:rFonts w:ascii="Arial" w:hAnsi="Arial" w:cs="Arial"/>
                <w:sz w:val="22"/>
                <w:szCs w:val="22"/>
              </w:rPr>
              <w:t xml:space="preserve"> assess the economic impacts</w:t>
            </w:r>
          </w:p>
        </w:tc>
        <w:tc>
          <w:tcPr>
            <w:tcW w:w="1720" w:type="dxa"/>
            <w:vAlign w:val="center"/>
          </w:tcPr>
          <w:p w14:paraId="6BB9563B"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Collected as part of ongoing monitoring activities by operators.</w:t>
            </w:r>
          </w:p>
        </w:tc>
        <w:tc>
          <w:tcPr>
            <w:tcW w:w="1899" w:type="dxa"/>
            <w:vAlign w:val="center"/>
          </w:tcPr>
          <w:p w14:paraId="402E1869"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Baseline (pre-scheme) then annually</w:t>
            </w:r>
            <w:r>
              <w:rPr>
                <w:rFonts w:ascii="Arial" w:hAnsi="Arial" w:cs="Arial"/>
                <w:sz w:val="22"/>
                <w:szCs w:val="22"/>
              </w:rPr>
              <w:t>.</w:t>
            </w:r>
          </w:p>
        </w:tc>
      </w:tr>
      <w:tr w:rsidR="00473677" w:rsidRPr="00053476" w14:paraId="1C293EEF" w14:textId="77777777" w:rsidTr="00B36D3A">
        <w:tc>
          <w:tcPr>
            <w:tcW w:w="2478" w:type="dxa"/>
            <w:vAlign w:val="center"/>
          </w:tcPr>
          <w:p w14:paraId="03C72ED0"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M11: Early Measures Fund - ULEV Parking Permits</w:t>
            </w:r>
          </w:p>
        </w:tc>
        <w:tc>
          <w:tcPr>
            <w:tcW w:w="1659" w:type="dxa"/>
            <w:vAlign w:val="center"/>
          </w:tcPr>
          <w:p w14:paraId="0B5B974A"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Statistics on ULEV scheme uptake</w:t>
            </w:r>
          </w:p>
        </w:tc>
        <w:tc>
          <w:tcPr>
            <w:tcW w:w="1708" w:type="dxa"/>
            <w:vAlign w:val="center"/>
          </w:tcPr>
          <w:p w14:paraId="53C7AE6D"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To understand the popularity</w:t>
            </w:r>
          </w:p>
        </w:tc>
        <w:tc>
          <w:tcPr>
            <w:tcW w:w="1720" w:type="dxa"/>
            <w:vAlign w:val="center"/>
          </w:tcPr>
          <w:p w14:paraId="2E7B5C72"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Collected as part of the parking permit scheme operation</w:t>
            </w:r>
          </w:p>
        </w:tc>
        <w:tc>
          <w:tcPr>
            <w:tcW w:w="1899" w:type="dxa"/>
            <w:vAlign w:val="center"/>
          </w:tcPr>
          <w:p w14:paraId="4D965AE1"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Baseline (pre-scheme) then biannually</w:t>
            </w:r>
            <w:r>
              <w:rPr>
                <w:rFonts w:ascii="Arial" w:hAnsi="Arial" w:cs="Arial"/>
                <w:sz w:val="22"/>
                <w:szCs w:val="22"/>
              </w:rPr>
              <w:t>.</w:t>
            </w:r>
          </w:p>
        </w:tc>
      </w:tr>
      <w:tr w:rsidR="00473677" w:rsidRPr="00053476" w14:paraId="32F26811" w14:textId="77777777" w:rsidTr="00B36D3A">
        <w:tc>
          <w:tcPr>
            <w:tcW w:w="2478" w:type="dxa"/>
            <w:vAlign w:val="center"/>
          </w:tcPr>
          <w:p w14:paraId="75601E74"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M12: Bus retrofit uptake/compliance data</w:t>
            </w:r>
          </w:p>
        </w:tc>
        <w:tc>
          <w:tcPr>
            <w:tcW w:w="1659" w:type="dxa"/>
            <w:vAlign w:val="center"/>
          </w:tcPr>
          <w:p w14:paraId="037D3ADC"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Statistics on bus retrofit scheme uptake and </w:t>
            </w:r>
            <w:r w:rsidRPr="00053476">
              <w:rPr>
                <w:rFonts w:ascii="Arial" w:hAnsi="Arial" w:cs="Arial"/>
                <w:sz w:val="22"/>
                <w:szCs w:val="22"/>
              </w:rPr>
              <w:lastRenderedPageBreak/>
              <w:t>bus compliance</w:t>
            </w:r>
          </w:p>
        </w:tc>
        <w:tc>
          <w:tcPr>
            <w:tcW w:w="1708" w:type="dxa"/>
            <w:vAlign w:val="center"/>
          </w:tcPr>
          <w:p w14:paraId="7647C0FE"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lastRenderedPageBreak/>
              <w:t xml:space="preserve">To understand changes to bus fleet </w:t>
            </w:r>
            <w:r w:rsidRPr="00053476">
              <w:rPr>
                <w:rFonts w:ascii="Arial" w:hAnsi="Arial" w:cs="Arial"/>
                <w:sz w:val="22"/>
                <w:szCs w:val="22"/>
              </w:rPr>
              <w:lastRenderedPageBreak/>
              <w:t>operating in Bath.</w:t>
            </w:r>
          </w:p>
        </w:tc>
        <w:tc>
          <w:tcPr>
            <w:tcW w:w="1720" w:type="dxa"/>
            <w:vAlign w:val="center"/>
          </w:tcPr>
          <w:p w14:paraId="39C3BD85"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lastRenderedPageBreak/>
              <w:t xml:space="preserve">Collected by ANPR cameras, as part of ongoing </w:t>
            </w:r>
            <w:r w:rsidRPr="00053476">
              <w:rPr>
                <w:rFonts w:ascii="Arial" w:hAnsi="Arial" w:cs="Arial"/>
                <w:sz w:val="22"/>
                <w:szCs w:val="22"/>
              </w:rPr>
              <w:lastRenderedPageBreak/>
              <w:t>monitoring activities by operators and from the retrofit scheme</w:t>
            </w:r>
          </w:p>
        </w:tc>
        <w:tc>
          <w:tcPr>
            <w:tcW w:w="1899" w:type="dxa"/>
            <w:vAlign w:val="center"/>
          </w:tcPr>
          <w:p w14:paraId="254A6ADD"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lastRenderedPageBreak/>
              <w:t>Baseline (pre-scheme) then biannually</w:t>
            </w:r>
            <w:r>
              <w:rPr>
                <w:rFonts w:ascii="Arial" w:hAnsi="Arial" w:cs="Arial"/>
                <w:sz w:val="22"/>
                <w:szCs w:val="22"/>
              </w:rPr>
              <w:t>.</w:t>
            </w:r>
          </w:p>
        </w:tc>
      </w:tr>
      <w:tr w:rsidR="00473677" w:rsidRPr="00053476" w14:paraId="3CD21026" w14:textId="77777777" w:rsidTr="00B36D3A">
        <w:tc>
          <w:tcPr>
            <w:tcW w:w="2478" w:type="dxa"/>
            <w:vAlign w:val="center"/>
          </w:tcPr>
          <w:p w14:paraId="188F2E78"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M13: Financial support scheme uptake</w:t>
            </w:r>
          </w:p>
        </w:tc>
        <w:tc>
          <w:tcPr>
            <w:tcW w:w="1659" w:type="dxa"/>
            <w:vAlign w:val="center"/>
          </w:tcPr>
          <w:p w14:paraId="47F66059"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Statistics on financial support scheme uptake</w:t>
            </w:r>
          </w:p>
        </w:tc>
        <w:tc>
          <w:tcPr>
            <w:tcW w:w="1708" w:type="dxa"/>
            <w:vAlign w:val="center"/>
          </w:tcPr>
          <w:p w14:paraId="51DB1D5C"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To understand the success and popularity of the financial support schemes in changing to compliant vehicles</w:t>
            </w:r>
          </w:p>
        </w:tc>
        <w:tc>
          <w:tcPr>
            <w:tcW w:w="1720" w:type="dxa"/>
            <w:vAlign w:val="center"/>
          </w:tcPr>
          <w:p w14:paraId="5E0222E5"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Collected as part of the financial support scheme operation</w:t>
            </w:r>
          </w:p>
        </w:tc>
        <w:tc>
          <w:tcPr>
            <w:tcW w:w="1899" w:type="dxa"/>
            <w:vAlign w:val="center"/>
          </w:tcPr>
          <w:p w14:paraId="1301882E"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Biannually after scheme roll-out</w:t>
            </w:r>
            <w:r>
              <w:rPr>
                <w:rFonts w:ascii="Arial" w:hAnsi="Arial" w:cs="Arial"/>
                <w:sz w:val="22"/>
                <w:szCs w:val="22"/>
              </w:rPr>
              <w:t>.</w:t>
            </w:r>
          </w:p>
        </w:tc>
      </w:tr>
      <w:tr w:rsidR="00473677" w:rsidRPr="00053476" w14:paraId="6BF657B9" w14:textId="77777777" w:rsidTr="00B36D3A">
        <w:tc>
          <w:tcPr>
            <w:tcW w:w="2478" w:type="dxa"/>
            <w:vAlign w:val="center"/>
          </w:tcPr>
          <w:p w14:paraId="61C24790"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M14: Travel advisor session uptake</w:t>
            </w:r>
          </w:p>
        </w:tc>
        <w:tc>
          <w:tcPr>
            <w:tcW w:w="1659" w:type="dxa"/>
            <w:vAlign w:val="center"/>
          </w:tcPr>
          <w:p w14:paraId="75403D45"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Statistics on meetings with travel advisors</w:t>
            </w:r>
          </w:p>
        </w:tc>
        <w:tc>
          <w:tcPr>
            <w:tcW w:w="1708" w:type="dxa"/>
            <w:vAlign w:val="center"/>
          </w:tcPr>
          <w:p w14:paraId="3C7B77BA"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 xml:space="preserve">To understand the overall success of travel advisors </w:t>
            </w:r>
          </w:p>
        </w:tc>
        <w:tc>
          <w:tcPr>
            <w:tcW w:w="1720" w:type="dxa"/>
            <w:vAlign w:val="center"/>
          </w:tcPr>
          <w:p w14:paraId="67ACF78E"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Collected as part of the travel advisor scheme operation</w:t>
            </w:r>
          </w:p>
        </w:tc>
        <w:tc>
          <w:tcPr>
            <w:tcW w:w="1899" w:type="dxa"/>
            <w:vAlign w:val="center"/>
          </w:tcPr>
          <w:p w14:paraId="71A1EC62"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Biannually after scheme roll-out</w:t>
            </w:r>
            <w:r>
              <w:rPr>
                <w:rFonts w:ascii="Arial" w:hAnsi="Arial" w:cs="Arial"/>
                <w:sz w:val="22"/>
                <w:szCs w:val="22"/>
              </w:rPr>
              <w:t>.</w:t>
            </w:r>
          </w:p>
        </w:tc>
      </w:tr>
      <w:tr w:rsidR="00473677" w:rsidRPr="00053476" w14:paraId="0DD1C01E" w14:textId="77777777" w:rsidTr="00B36D3A">
        <w:tc>
          <w:tcPr>
            <w:tcW w:w="2478" w:type="dxa"/>
            <w:vAlign w:val="center"/>
          </w:tcPr>
          <w:p w14:paraId="6490323D"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M15: Anti-idling enforcement</w:t>
            </w:r>
          </w:p>
        </w:tc>
        <w:tc>
          <w:tcPr>
            <w:tcW w:w="1659" w:type="dxa"/>
            <w:vAlign w:val="center"/>
          </w:tcPr>
          <w:p w14:paraId="0AE44CDE"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Data from enforcement action for anti-idling</w:t>
            </w:r>
          </w:p>
        </w:tc>
        <w:tc>
          <w:tcPr>
            <w:tcW w:w="1708" w:type="dxa"/>
            <w:vAlign w:val="center"/>
          </w:tcPr>
          <w:p w14:paraId="73659A0A"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To understand the success of the measure in reducing idling</w:t>
            </w:r>
          </w:p>
        </w:tc>
        <w:tc>
          <w:tcPr>
            <w:tcW w:w="1720" w:type="dxa"/>
            <w:vAlign w:val="center"/>
          </w:tcPr>
          <w:p w14:paraId="1BD37715"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Collected as part of the anti-idling enforcement scheme operation</w:t>
            </w:r>
          </w:p>
        </w:tc>
        <w:tc>
          <w:tcPr>
            <w:tcW w:w="1899" w:type="dxa"/>
            <w:vAlign w:val="center"/>
          </w:tcPr>
          <w:p w14:paraId="1A8C2770"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Biannually after scheme roll-out</w:t>
            </w:r>
            <w:r>
              <w:rPr>
                <w:rFonts w:ascii="Arial" w:hAnsi="Arial" w:cs="Arial"/>
                <w:sz w:val="22"/>
                <w:szCs w:val="22"/>
              </w:rPr>
              <w:t>.</w:t>
            </w:r>
          </w:p>
        </w:tc>
      </w:tr>
      <w:tr w:rsidR="00473677" w:rsidRPr="00053476" w14:paraId="3637B88B" w14:textId="77777777" w:rsidTr="00B36D3A">
        <w:tc>
          <w:tcPr>
            <w:tcW w:w="2478" w:type="dxa"/>
            <w:vAlign w:val="center"/>
          </w:tcPr>
          <w:p w14:paraId="42C3FCDD"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M16: Weight restriction enforcement</w:t>
            </w:r>
          </w:p>
        </w:tc>
        <w:tc>
          <w:tcPr>
            <w:tcW w:w="1659" w:type="dxa"/>
            <w:vAlign w:val="center"/>
          </w:tcPr>
          <w:p w14:paraId="73C88C70"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Data from enforcement action for anti-idling</w:t>
            </w:r>
          </w:p>
        </w:tc>
        <w:tc>
          <w:tcPr>
            <w:tcW w:w="1708" w:type="dxa"/>
            <w:vAlign w:val="center"/>
          </w:tcPr>
          <w:p w14:paraId="6FC0A2F0"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To understand the success of the measure in enforcing weight restrictions</w:t>
            </w:r>
          </w:p>
        </w:tc>
        <w:tc>
          <w:tcPr>
            <w:tcW w:w="1720" w:type="dxa"/>
            <w:vAlign w:val="center"/>
          </w:tcPr>
          <w:p w14:paraId="4C37D3F0"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Collected as part of the weight restriction enforcement scheme operation (from Trading Standards)</w:t>
            </w:r>
          </w:p>
        </w:tc>
        <w:tc>
          <w:tcPr>
            <w:tcW w:w="1899" w:type="dxa"/>
            <w:vAlign w:val="center"/>
          </w:tcPr>
          <w:p w14:paraId="14CA76AE"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Biannually after scheme roll-out</w:t>
            </w:r>
            <w:r>
              <w:rPr>
                <w:rFonts w:ascii="Arial" w:hAnsi="Arial" w:cs="Arial"/>
                <w:sz w:val="22"/>
                <w:szCs w:val="22"/>
              </w:rPr>
              <w:t>.</w:t>
            </w:r>
          </w:p>
        </w:tc>
      </w:tr>
      <w:tr w:rsidR="00473677" w:rsidRPr="00053476" w14:paraId="53427041" w14:textId="77777777" w:rsidTr="00B36D3A">
        <w:trPr>
          <w:trHeight w:val="2042"/>
        </w:trPr>
        <w:tc>
          <w:tcPr>
            <w:tcW w:w="2478" w:type="dxa"/>
            <w:vAlign w:val="center"/>
          </w:tcPr>
          <w:p w14:paraId="12AF8357" w14:textId="77777777" w:rsidR="00473677" w:rsidRPr="00053476" w:rsidRDefault="00473677" w:rsidP="00B36D3A">
            <w:pPr>
              <w:pStyle w:val="TableBodyCEN"/>
              <w:jc w:val="left"/>
              <w:rPr>
                <w:rFonts w:ascii="Arial" w:hAnsi="Arial" w:cs="Arial"/>
                <w:b/>
                <w:sz w:val="22"/>
                <w:szCs w:val="22"/>
              </w:rPr>
            </w:pPr>
            <w:r w:rsidRPr="00053476">
              <w:rPr>
                <w:rFonts w:ascii="Arial" w:hAnsi="Arial" w:cs="Arial"/>
                <w:b/>
                <w:sz w:val="22"/>
                <w:szCs w:val="22"/>
              </w:rPr>
              <w:t>M17: Delivery and servicing plans uptake</w:t>
            </w:r>
          </w:p>
        </w:tc>
        <w:tc>
          <w:tcPr>
            <w:tcW w:w="1659" w:type="dxa"/>
            <w:vAlign w:val="center"/>
          </w:tcPr>
          <w:p w14:paraId="724E6816"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Statistics on delivery and servicing plans uptake</w:t>
            </w:r>
          </w:p>
        </w:tc>
        <w:tc>
          <w:tcPr>
            <w:tcW w:w="1708" w:type="dxa"/>
            <w:vAlign w:val="center"/>
          </w:tcPr>
          <w:p w14:paraId="44FBF8C5"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To understand the success of the delivery and servicing plans measure with businesses</w:t>
            </w:r>
          </w:p>
        </w:tc>
        <w:tc>
          <w:tcPr>
            <w:tcW w:w="1720" w:type="dxa"/>
            <w:vAlign w:val="center"/>
          </w:tcPr>
          <w:p w14:paraId="1183833F"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Collected as part of the delivery and servicing plans operation</w:t>
            </w:r>
          </w:p>
        </w:tc>
        <w:tc>
          <w:tcPr>
            <w:tcW w:w="1899" w:type="dxa"/>
            <w:vAlign w:val="center"/>
          </w:tcPr>
          <w:p w14:paraId="7D4ECE04" w14:textId="77777777" w:rsidR="00473677" w:rsidRPr="00053476" w:rsidRDefault="00473677" w:rsidP="00B36D3A">
            <w:pPr>
              <w:pStyle w:val="TableBodyCEN"/>
              <w:jc w:val="left"/>
              <w:rPr>
                <w:rFonts w:ascii="Arial" w:hAnsi="Arial" w:cs="Arial"/>
                <w:sz w:val="22"/>
                <w:szCs w:val="22"/>
              </w:rPr>
            </w:pPr>
            <w:r w:rsidRPr="00053476">
              <w:rPr>
                <w:rFonts w:ascii="Arial" w:hAnsi="Arial" w:cs="Arial"/>
                <w:sz w:val="22"/>
                <w:szCs w:val="22"/>
              </w:rPr>
              <w:t>Biannually after scheme roll-out</w:t>
            </w:r>
            <w:r>
              <w:rPr>
                <w:rFonts w:ascii="Arial" w:hAnsi="Arial" w:cs="Arial"/>
                <w:sz w:val="22"/>
                <w:szCs w:val="22"/>
              </w:rPr>
              <w:t>.</w:t>
            </w:r>
          </w:p>
        </w:tc>
      </w:tr>
    </w:tbl>
    <w:p w14:paraId="6F181AE8" w14:textId="78E1BC24" w:rsidR="00473677" w:rsidRPr="00473677" w:rsidRDefault="00473677" w:rsidP="00473677">
      <w:pPr>
        <w:tabs>
          <w:tab w:val="left" w:pos="1540"/>
        </w:tabs>
        <w:rPr>
          <w:szCs w:val="24"/>
        </w:rPr>
      </w:pPr>
    </w:p>
    <w:sectPr w:rsidR="00473677" w:rsidRPr="0047367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44624" w14:textId="77777777" w:rsidR="00473677" w:rsidRDefault="00473677" w:rsidP="00473677">
      <w:pPr>
        <w:spacing w:after="0" w:line="240" w:lineRule="auto"/>
      </w:pPr>
      <w:r>
        <w:separator/>
      </w:r>
    </w:p>
  </w:endnote>
  <w:endnote w:type="continuationSeparator" w:id="0">
    <w:p w14:paraId="3AF0EB3B" w14:textId="77777777" w:rsidR="00473677" w:rsidRDefault="00473677" w:rsidP="0047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047921"/>
      <w:docPartObj>
        <w:docPartGallery w:val="Page Numbers (Bottom of Page)"/>
        <w:docPartUnique/>
      </w:docPartObj>
    </w:sdtPr>
    <w:sdtEndPr>
      <w:rPr>
        <w:noProof/>
      </w:rPr>
    </w:sdtEndPr>
    <w:sdtContent>
      <w:p w14:paraId="5D264694" w14:textId="49C2000C" w:rsidR="00473677" w:rsidRDefault="00473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4819E" w14:textId="77777777" w:rsidR="00473677" w:rsidRDefault="0047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B60B3" w14:textId="77777777" w:rsidR="00473677" w:rsidRDefault="00473677" w:rsidP="00473677">
      <w:pPr>
        <w:spacing w:after="0" w:line="240" w:lineRule="auto"/>
      </w:pPr>
      <w:r>
        <w:separator/>
      </w:r>
    </w:p>
  </w:footnote>
  <w:footnote w:type="continuationSeparator" w:id="0">
    <w:p w14:paraId="07E38170" w14:textId="77777777" w:rsidR="00473677" w:rsidRDefault="00473677" w:rsidP="00473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0F9F" w14:textId="6C380A8A" w:rsidR="00473677" w:rsidRDefault="00473677" w:rsidP="00473677">
    <w:pPr>
      <w:pStyle w:val="Header"/>
      <w:jc w:val="right"/>
    </w:pPr>
    <w:r>
      <w:t>Bath’s Clean Air Zone Annual Monitoring Report,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77"/>
    <w:rsid w:val="0010338D"/>
    <w:rsid w:val="00473677"/>
    <w:rsid w:val="00490D62"/>
    <w:rsid w:val="00700004"/>
    <w:rsid w:val="00D71CDB"/>
    <w:rsid w:val="00F26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F87B"/>
  <w15:chartTrackingRefBased/>
  <w15:docId w15:val="{02AFE0CC-E826-4143-83CE-B72E97A3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paragraph" w:styleId="Heading1">
    <w:name w:val="heading 1"/>
    <w:basedOn w:val="Normal"/>
    <w:next w:val="Normal"/>
    <w:link w:val="Heading1Char"/>
    <w:uiPriority w:val="9"/>
    <w:qFormat/>
    <w:rsid w:val="00473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677"/>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4736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36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36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367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367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367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677"/>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4736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36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36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36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36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36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3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677"/>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473677"/>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473677"/>
    <w:pPr>
      <w:spacing w:before="160"/>
      <w:jc w:val="center"/>
    </w:pPr>
    <w:rPr>
      <w:i/>
      <w:iCs/>
      <w:color w:val="404040" w:themeColor="text1" w:themeTint="BF"/>
    </w:rPr>
  </w:style>
  <w:style w:type="character" w:customStyle="1" w:styleId="QuoteChar">
    <w:name w:val="Quote Char"/>
    <w:basedOn w:val="DefaultParagraphFont"/>
    <w:link w:val="Quote"/>
    <w:uiPriority w:val="29"/>
    <w:rsid w:val="00473677"/>
    <w:rPr>
      <w:i/>
      <w:iCs/>
      <w:color w:val="404040" w:themeColor="text1" w:themeTint="BF"/>
    </w:rPr>
  </w:style>
  <w:style w:type="paragraph" w:styleId="ListParagraph">
    <w:name w:val="List Paragraph"/>
    <w:basedOn w:val="Normal"/>
    <w:uiPriority w:val="34"/>
    <w:qFormat/>
    <w:rsid w:val="00473677"/>
    <w:pPr>
      <w:ind w:left="720"/>
      <w:contextualSpacing/>
    </w:pPr>
  </w:style>
  <w:style w:type="character" w:styleId="IntenseEmphasis">
    <w:name w:val="Intense Emphasis"/>
    <w:basedOn w:val="DefaultParagraphFont"/>
    <w:uiPriority w:val="21"/>
    <w:qFormat/>
    <w:rsid w:val="00473677"/>
    <w:rPr>
      <w:i/>
      <w:iCs/>
      <w:color w:val="0F4761" w:themeColor="accent1" w:themeShade="BF"/>
    </w:rPr>
  </w:style>
  <w:style w:type="paragraph" w:styleId="IntenseQuote">
    <w:name w:val="Intense Quote"/>
    <w:basedOn w:val="Normal"/>
    <w:next w:val="Normal"/>
    <w:link w:val="IntenseQuoteChar"/>
    <w:uiPriority w:val="30"/>
    <w:qFormat/>
    <w:rsid w:val="00473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677"/>
    <w:rPr>
      <w:i/>
      <w:iCs/>
      <w:color w:val="0F4761" w:themeColor="accent1" w:themeShade="BF"/>
    </w:rPr>
  </w:style>
  <w:style w:type="character" w:styleId="IntenseReference">
    <w:name w:val="Intense Reference"/>
    <w:basedOn w:val="DefaultParagraphFont"/>
    <w:uiPriority w:val="32"/>
    <w:qFormat/>
    <w:rsid w:val="00473677"/>
    <w:rPr>
      <w:b/>
      <w:bCs/>
      <w:smallCaps/>
      <w:color w:val="0F4761" w:themeColor="accent1" w:themeShade="BF"/>
      <w:spacing w:val="5"/>
    </w:rPr>
  </w:style>
  <w:style w:type="table" w:styleId="TableGrid">
    <w:name w:val="Table Grid"/>
    <w:basedOn w:val="TableNormal"/>
    <w:uiPriority w:val="59"/>
    <w:rsid w:val="0047367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next w:val="Normal"/>
    <w:qFormat/>
    <w:rsid w:val="00473677"/>
    <w:pPr>
      <w:keepNext/>
      <w:keepLines/>
      <w:spacing w:before="80" w:after="80" w:line="276" w:lineRule="auto"/>
      <w:jc w:val="center"/>
    </w:pPr>
    <w:rPr>
      <w:rFonts w:ascii="Calibri" w:eastAsia="Times New Roman" w:hAnsi="Calibri" w:cs="Times New Roman"/>
      <w:b/>
      <w:sz w:val="18"/>
      <w:szCs w:val="20"/>
      <w:lang w:eastAsia="en-GB"/>
    </w:rPr>
  </w:style>
  <w:style w:type="paragraph" w:customStyle="1" w:styleId="TableBodyCEN">
    <w:name w:val="Table Body CEN"/>
    <w:basedOn w:val="Normal"/>
    <w:qFormat/>
    <w:rsid w:val="00473677"/>
    <w:pPr>
      <w:spacing w:before="80" w:after="80" w:line="276" w:lineRule="auto"/>
      <w:jc w:val="center"/>
    </w:pPr>
    <w:rPr>
      <w:rFonts w:ascii="Calibri" w:eastAsia="Times New Roman" w:hAnsi="Calibri" w:cs="Times New Roman"/>
      <w:sz w:val="18"/>
      <w:szCs w:val="20"/>
      <w:lang w:val="en-US" w:eastAsia="en-GB"/>
    </w:rPr>
  </w:style>
  <w:style w:type="paragraph" w:styleId="Header">
    <w:name w:val="header"/>
    <w:basedOn w:val="Normal"/>
    <w:link w:val="HeaderChar"/>
    <w:uiPriority w:val="99"/>
    <w:unhideWhenUsed/>
    <w:rsid w:val="00473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677"/>
  </w:style>
  <w:style w:type="paragraph" w:styleId="Footer">
    <w:name w:val="footer"/>
    <w:basedOn w:val="Normal"/>
    <w:link w:val="FooterChar"/>
    <w:uiPriority w:val="99"/>
    <w:unhideWhenUsed/>
    <w:rsid w:val="00473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886</Words>
  <Characters>5054</Characters>
  <Application>Microsoft Office Word</Application>
  <DocSecurity>4</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Turner</dc:creator>
  <cp:keywords/>
  <dc:description/>
  <cp:lastModifiedBy>Aliyah Hodson-hirst</cp:lastModifiedBy>
  <cp:revision>2</cp:revision>
  <dcterms:created xsi:type="dcterms:W3CDTF">2024-08-30T13:51:00Z</dcterms:created>
  <dcterms:modified xsi:type="dcterms:W3CDTF">2024-08-30T13:51:00Z</dcterms:modified>
</cp:coreProperties>
</file>